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FC0B" w14:textId="77777777" w:rsidR="00EA7376" w:rsidRDefault="005732E5">
      <w:r>
        <w:t>2022 OVINGTON PARISH COUNCIL</w:t>
      </w:r>
    </w:p>
    <w:p w14:paraId="1F6306E4" w14:textId="77777777" w:rsidR="005732E5" w:rsidRDefault="005732E5">
      <w:r>
        <w:t>AGM</w:t>
      </w:r>
    </w:p>
    <w:p w14:paraId="350C2AF3" w14:textId="77777777" w:rsidR="005732E5" w:rsidRDefault="005732E5">
      <w:r>
        <w:t>OVINGHAM JOINT BURIAL COMMITTEE REPORT</w:t>
      </w:r>
    </w:p>
    <w:p w14:paraId="2ED8891D" w14:textId="77777777" w:rsidR="005732E5" w:rsidRDefault="005732E5"/>
    <w:p w14:paraId="4410F966" w14:textId="77777777" w:rsidR="005732E5" w:rsidRDefault="005732E5">
      <w:r>
        <w:t>During the past year the Burial Committee reviewed and actioned the following:</w:t>
      </w:r>
    </w:p>
    <w:p w14:paraId="5A3C8C0E" w14:textId="77777777" w:rsidR="005732E5" w:rsidRDefault="005732E5" w:rsidP="005732E5">
      <w:pPr>
        <w:pStyle w:val="ListParagraph"/>
        <w:numPr>
          <w:ilvl w:val="0"/>
          <w:numId w:val="1"/>
        </w:numPr>
      </w:pPr>
      <w:r w:rsidRPr="000E1B25">
        <w:rPr>
          <w:b/>
        </w:rPr>
        <w:t>Grounds condition and maintenance</w:t>
      </w:r>
      <w:r>
        <w:t xml:space="preserve">. </w:t>
      </w:r>
      <w:r w:rsidR="00E3059B">
        <w:t>Mowing, weeding and tree removal, where appropriate, has been undertaken</w:t>
      </w:r>
      <w:r w:rsidR="000E1B25">
        <w:t xml:space="preserve"> to a good standard by the appointed contractor</w:t>
      </w:r>
      <w:r w:rsidR="00E3059B">
        <w:t>.</w:t>
      </w:r>
    </w:p>
    <w:p w14:paraId="5FD5D24C" w14:textId="77777777" w:rsidR="005732E5" w:rsidRDefault="005732E5" w:rsidP="005732E5">
      <w:pPr>
        <w:pStyle w:val="ListParagraph"/>
        <w:numPr>
          <w:ilvl w:val="0"/>
          <w:numId w:val="1"/>
        </w:numPr>
      </w:pPr>
      <w:r w:rsidRPr="000E1B25">
        <w:rPr>
          <w:b/>
        </w:rPr>
        <w:t>Lodge independent building condition report.</w:t>
      </w:r>
      <w:r>
        <w:t xml:space="preserve"> This revealed major and urgent work as well as a wide range of other issues. The independent surveyor has split these issues into external, internal, services (such as electrics) and miscellaneous. Each of these categories is further split into urgent, high priority, medium priority and low priority issues. Priority 1(urgent) to Priority 4(low).  Each issue has been costed. This resulted in:</w:t>
      </w:r>
    </w:p>
    <w:tbl>
      <w:tblPr>
        <w:tblW w:w="2091" w:type="dxa"/>
        <w:tblInd w:w="1358" w:type="dxa"/>
        <w:tblLook w:val="04A0" w:firstRow="1" w:lastRow="0" w:firstColumn="1" w:lastColumn="0" w:noHBand="0" w:noVBand="1"/>
      </w:tblPr>
      <w:tblGrid>
        <w:gridCol w:w="1155"/>
        <w:gridCol w:w="936"/>
      </w:tblGrid>
      <w:tr w:rsidR="005732E5" w:rsidRPr="005732E5" w14:paraId="7CC4875A" w14:textId="77777777" w:rsidTr="00E3059B">
        <w:trPr>
          <w:trHeight w:val="291"/>
        </w:trPr>
        <w:tc>
          <w:tcPr>
            <w:tcW w:w="1155" w:type="dxa"/>
            <w:tcBorders>
              <w:top w:val="nil"/>
              <w:left w:val="nil"/>
              <w:bottom w:val="nil"/>
              <w:right w:val="nil"/>
            </w:tcBorders>
            <w:shd w:val="clear" w:color="000000" w:fill="FFCCCC"/>
            <w:noWrap/>
            <w:vAlign w:val="bottom"/>
            <w:hideMark/>
          </w:tcPr>
          <w:p w14:paraId="28F185F4" w14:textId="77777777" w:rsidR="005732E5" w:rsidRPr="005732E5" w:rsidRDefault="005732E5" w:rsidP="005732E5">
            <w:pPr>
              <w:spacing w:after="0" w:line="240" w:lineRule="auto"/>
              <w:rPr>
                <w:rFonts w:eastAsia="Times New Roman" w:cstheme="minorHAnsi"/>
                <w:b/>
                <w:bCs/>
                <w:color w:val="000000"/>
                <w:sz w:val="18"/>
                <w:szCs w:val="28"/>
                <w:lang w:eastAsia="en-GB"/>
              </w:rPr>
            </w:pPr>
            <w:r w:rsidRPr="005732E5">
              <w:rPr>
                <w:rFonts w:eastAsia="Times New Roman" w:cstheme="minorHAnsi"/>
                <w:b/>
                <w:bCs/>
                <w:color w:val="000000"/>
                <w:sz w:val="18"/>
                <w:szCs w:val="28"/>
                <w:lang w:eastAsia="en-GB"/>
              </w:rPr>
              <w:t>Priority 1</w:t>
            </w:r>
          </w:p>
        </w:tc>
        <w:tc>
          <w:tcPr>
            <w:tcW w:w="936" w:type="dxa"/>
            <w:tcBorders>
              <w:top w:val="nil"/>
              <w:left w:val="nil"/>
              <w:bottom w:val="nil"/>
              <w:right w:val="nil"/>
            </w:tcBorders>
            <w:shd w:val="clear" w:color="000000" w:fill="FFCCCC"/>
            <w:noWrap/>
            <w:vAlign w:val="bottom"/>
            <w:hideMark/>
          </w:tcPr>
          <w:p w14:paraId="54AC9B09" w14:textId="77777777" w:rsidR="005732E5" w:rsidRPr="005732E5" w:rsidRDefault="005732E5" w:rsidP="005732E5">
            <w:pPr>
              <w:spacing w:after="0" w:line="240" w:lineRule="auto"/>
              <w:jc w:val="right"/>
              <w:rPr>
                <w:rFonts w:eastAsia="Times New Roman" w:cstheme="minorHAnsi"/>
                <w:b/>
                <w:bCs/>
                <w:color w:val="000000"/>
                <w:sz w:val="18"/>
                <w:szCs w:val="28"/>
                <w:lang w:eastAsia="en-GB"/>
              </w:rPr>
            </w:pPr>
            <w:r w:rsidRPr="005732E5">
              <w:rPr>
                <w:rFonts w:eastAsia="Times New Roman" w:cstheme="minorHAnsi"/>
                <w:b/>
                <w:bCs/>
                <w:color w:val="000000"/>
                <w:sz w:val="18"/>
                <w:szCs w:val="28"/>
                <w:lang w:eastAsia="en-GB"/>
              </w:rPr>
              <w:t>24970</w:t>
            </w:r>
          </w:p>
        </w:tc>
      </w:tr>
      <w:tr w:rsidR="005732E5" w:rsidRPr="005732E5" w14:paraId="3F9B9457" w14:textId="77777777" w:rsidTr="00E3059B">
        <w:trPr>
          <w:trHeight w:val="291"/>
        </w:trPr>
        <w:tc>
          <w:tcPr>
            <w:tcW w:w="1155" w:type="dxa"/>
            <w:tcBorders>
              <w:top w:val="nil"/>
              <w:left w:val="nil"/>
              <w:bottom w:val="nil"/>
              <w:right w:val="nil"/>
            </w:tcBorders>
            <w:shd w:val="clear" w:color="000000" w:fill="FCE4D6"/>
            <w:noWrap/>
            <w:vAlign w:val="bottom"/>
            <w:hideMark/>
          </w:tcPr>
          <w:p w14:paraId="1A8974CB" w14:textId="77777777" w:rsidR="005732E5" w:rsidRPr="005732E5" w:rsidRDefault="005732E5" w:rsidP="005732E5">
            <w:pPr>
              <w:spacing w:after="0" w:line="240" w:lineRule="auto"/>
              <w:rPr>
                <w:rFonts w:eastAsia="Times New Roman" w:cstheme="minorHAnsi"/>
                <w:b/>
                <w:bCs/>
                <w:color w:val="000000"/>
                <w:sz w:val="18"/>
                <w:szCs w:val="28"/>
                <w:lang w:eastAsia="en-GB"/>
              </w:rPr>
            </w:pPr>
            <w:r w:rsidRPr="005732E5">
              <w:rPr>
                <w:rFonts w:eastAsia="Times New Roman" w:cstheme="minorHAnsi"/>
                <w:b/>
                <w:bCs/>
                <w:color w:val="000000"/>
                <w:sz w:val="18"/>
                <w:szCs w:val="28"/>
                <w:lang w:eastAsia="en-GB"/>
              </w:rPr>
              <w:t>Priority 2</w:t>
            </w:r>
          </w:p>
        </w:tc>
        <w:tc>
          <w:tcPr>
            <w:tcW w:w="936" w:type="dxa"/>
            <w:tcBorders>
              <w:top w:val="nil"/>
              <w:left w:val="nil"/>
              <w:bottom w:val="nil"/>
              <w:right w:val="nil"/>
            </w:tcBorders>
            <w:shd w:val="clear" w:color="000000" w:fill="FCE4D6"/>
            <w:noWrap/>
            <w:vAlign w:val="bottom"/>
            <w:hideMark/>
          </w:tcPr>
          <w:p w14:paraId="26525535" w14:textId="77777777" w:rsidR="005732E5" w:rsidRPr="005732E5" w:rsidRDefault="005732E5" w:rsidP="005732E5">
            <w:pPr>
              <w:spacing w:after="0" w:line="240" w:lineRule="auto"/>
              <w:jc w:val="right"/>
              <w:rPr>
                <w:rFonts w:eastAsia="Times New Roman" w:cstheme="minorHAnsi"/>
                <w:b/>
                <w:bCs/>
                <w:color w:val="000000"/>
                <w:sz w:val="18"/>
                <w:szCs w:val="28"/>
                <w:lang w:eastAsia="en-GB"/>
              </w:rPr>
            </w:pPr>
            <w:r w:rsidRPr="005732E5">
              <w:rPr>
                <w:rFonts w:eastAsia="Times New Roman" w:cstheme="minorHAnsi"/>
                <w:b/>
                <w:bCs/>
                <w:color w:val="000000"/>
                <w:sz w:val="18"/>
                <w:szCs w:val="28"/>
                <w:lang w:eastAsia="en-GB"/>
              </w:rPr>
              <w:t>23540</w:t>
            </w:r>
          </w:p>
        </w:tc>
      </w:tr>
      <w:tr w:rsidR="005732E5" w:rsidRPr="005732E5" w14:paraId="14F307CB" w14:textId="77777777" w:rsidTr="00E3059B">
        <w:trPr>
          <w:trHeight w:val="291"/>
        </w:trPr>
        <w:tc>
          <w:tcPr>
            <w:tcW w:w="1155" w:type="dxa"/>
            <w:tcBorders>
              <w:top w:val="nil"/>
              <w:left w:val="nil"/>
              <w:bottom w:val="nil"/>
              <w:right w:val="nil"/>
            </w:tcBorders>
            <w:shd w:val="clear" w:color="000000" w:fill="FFF2CC"/>
            <w:noWrap/>
            <w:vAlign w:val="bottom"/>
            <w:hideMark/>
          </w:tcPr>
          <w:p w14:paraId="4E96AF63" w14:textId="77777777" w:rsidR="005732E5" w:rsidRPr="005732E5" w:rsidRDefault="005732E5" w:rsidP="005732E5">
            <w:pPr>
              <w:spacing w:after="0" w:line="240" w:lineRule="auto"/>
              <w:rPr>
                <w:rFonts w:eastAsia="Times New Roman" w:cstheme="minorHAnsi"/>
                <w:b/>
                <w:bCs/>
                <w:color w:val="000000"/>
                <w:sz w:val="18"/>
                <w:szCs w:val="28"/>
                <w:lang w:eastAsia="en-GB"/>
              </w:rPr>
            </w:pPr>
            <w:r w:rsidRPr="005732E5">
              <w:rPr>
                <w:rFonts w:eastAsia="Times New Roman" w:cstheme="minorHAnsi"/>
                <w:b/>
                <w:bCs/>
                <w:color w:val="000000"/>
                <w:sz w:val="18"/>
                <w:szCs w:val="28"/>
                <w:lang w:eastAsia="en-GB"/>
              </w:rPr>
              <w:t>Priority 3</w:t>
            </w:r>
          </w:p>
        </w:tc>
        <w:tc>
          <w:tcPr>
            <w:tcW w:w="936" w:type="dxa"/>
            <w:tcBorders>
              <w:top w:val="nil"/>
              <w:left w:val="nil"/>
              <w:bottom w:val="nil"/>
              <w:right w:val="nil"/>
            </w:tcBorders>
            <w:shd w:val="clear" w:color="000000" w:fill="FFF2CC"/>
            <w:noWrap/>
            <w:vAlign w:val="bottom"/>
            <w:hideMark/>
          </w:tcPr>
          <w:p w14:paraId="05D34462" w14:textId="77777777" w:rsidR="005732E5" w:rsidRPr="005732E5" w:rsidRDefault="005732E5" w:rsidP="005732E5">
            <w:pPr>
              <w:spacing w:after="0" w:line="240" w:lineRule="auto"/>
              <w:jc w:val="right"/>
              <w:rPr>
                <w:rFonts w:eastAsia="Times New Roman" w:cstheme="minorHAnsi"/>
                <w:b/>
                <w:bCs/>
                <w:color w:val="000000"/>
                <w:sz w:val="18"/>
                <w:szCs w:val="28"/>
                <w:lang w:eastAsia="en-GB"/>
              </w:rPr>
            </w:pPr>
            <w:r w:rsidRPr="005732E5">
              <w:rPr>
                <w:rFonts w:eastAsia="Times New Roman" w:cstheme="minorHAnsi"/>
                <w:b/>
                <w:bCs/>
                <w:color w:val="000000"/>
                <w:sz w:val="18"/>
                <w:szCs w:val="28"/>
                <w:lang w:eastAsia="en-GB"/>
              </w:rPr>
              <w:t>49200</w:t>
            </w:r>
          </w:p>
        </w:tc>
      </w:tr>
      <w:tr w:rsidR="005732E5" w:rsidRPr="005732E5" w14:paraId="7DA0659F" w14:textId="77777777" w:rsidTr="00E3059B">
        <w:trPr>
          <w:trHeight w:val="291"/>
        </w:trPr>
        <w:tc>
          <w:tcPr>
            <w:tcW w:w="1155" w:type="dxa"/>
            <w:tcBorders>
              <w:top w:val="nil"/>
              <w:left w:val="nil"/>
              <w:bottom w:val="nil"/>
              <w:right w:val="nil"/>
            </w:tcBorders>
            <w:shd w:val="clear" w:color="000000" w:fill="E2EFDA"/>
            <w:noWrap/>
            <w:vAlign w:val="bottom"/>
            <w:hideMark/>
          </w:tcPr>
          <w:p w14:paraId="4A7EC652" w14:textId="77777777" w:rsidR="005732E5" w:rsidRPr="005732E5" w:rsidRDefault="005732E5" w:rsidP="005732E5">
            <w:pPr>
              <w:spacing w:after="0" w:line="240" w:lineRule="auto"/>
              <w:rPr>
                <w:rFonts w:eastAsia="Times New Roman" w:cstheme="minorHAnsi"/>
                <w:b/>
                <w:bCs/>
                <w:color w:val="000000"/>
                <w:sz w:val="18"/>
                <w:szCs w:val="28"/>
                <w:lang w:eastAsia="en-GB"/>
              </w:rPr>
            </w:pPr>
            <w:r w:rsidRPr="005732E5">
              <w:rPr>
                <w:rFonts w:eastAsia="Times New Roman" w:cstheme="minorHAnsi"/>
                <w:b/>
                <w:bCs/>
                <w:color w:val="000000"/>
                <w:sz w:val="18"/>
                <w:szCs w:val="28"/>
                <w:lang w:eastAsia="en-GB"/>
              </w:rPr>
              <w:t>Priority 4</w:t>
            </w:r>
          </w:p>
        </w:tc>
        <w:tc>
          <w:tcPr>
            <w:tcW w:w="936" w:type="dxa"/>
            <w:tcBorders>
              <w:top w:val="nil"/>
              <w:left w:val="nil"/>
              <w:bottom w:val="nil"/>
              <w:right w:val="nil"/>
            </w:tcBorders>
            <w:shd w:val="clear" w:color="000000" w:fill="E2EFDA"/>
            <w:noWrap/>
            <w:vAlign w:val="bottom"/>
            <w:hideMark/>
          </w:tcPr>
          <w:p w14:paraId="7C8B0DE1" w14:textId="77777777" w:rsidR="005732E5" w:rsidRPr="005732E5" w:rsidRDefault="005732E5" w:rsidP="005732E5">
            <w:pPr>
              <w:spacing w:after="0" w:line="240" w:lineRule="auto"/>
              <w:jc w:val="right"/>
              <w:rPr>
                <w:rFonts w:eastAsia="Times New Roman" w:cstheme="minorHAnsi"/>
                <w:b/>
                <w:bCs/>
                <w:color w:val="000000"/>
                <w:sz w:val="18"/>
                <w:szCs w:val="28"/>
                <w:lang w:eastAsia="en-GB"/>
              </w:rPr>
            </w:pPr>
            <w:r w:rsidRPr="005732E5">
              <w:rPr>
                <w:rFonts w:eastAsia="Times New Roman" w:cstheme="minorHAnsi"/>
                <w:b/>
                <w:bCs/>
                <w:color w:val="000000"/>
                <w:sz w:val="18"/>
                <w:szCs w:val="28"/>
                <w:lang w:eastAsia="en-GB"/>
              </w:rPr>
              <w:t>6115</w:t>
            </w:r>
          </w:p>
        </w:tc>
      </w:tr>
      <w:tr w:rsidR="005732E5" w:rsidRPr="005732E5" w14:paraId="132E4990" w14:textId="77777777" w:rsidTr="00E3059B">
        <w:trPr>
          <w:trHeight w:val="291"/>
        </w:trPr>
        <w:tc>
          <w:tcPr>
            <w:tcW w:w="1155" w:type="dxa"/>
            <w:tcBorders>
              <w:top w:val="nil"/>
              <w:left w:val="nil"/>
              <w:bottom w:val="nil"/>
              <w:right w:val="nil"/>
            </w:tcBorders>
            <w:shd w:val="clear" w:color="auto" w:fill="auto"/>
            <w:noWrap/>
            <w:vAlign w:val="bottom"/>
            <w:hideMark/>
          </w:tcPr>
          <w:p w14:paraId="0D6792C1" w14:textId="77777777" w:rsidR="005732E5" w:rsidRPr="005732E5" w:rsidRDefault="005732E5" w:rsidP="005732E5">
            <w:pPr>
              <w:spacing w:after="0" w:line="240" w:lineRule="auto"/>
              <w:jc w:val="right"/>
              <w:rPr>
                <w:rFonts w:eastAsia="Times New Roman" w:cstheme="minorHAnsi"/>
                <w:b/>
                <w:bCs/>
                <w:color w:val="000000"/>
                <w:sz w:val="18"/>
                <w:szCs w:val="28"/>
                <w:lang w:eastAsia="en-GB"/>
              </w:rPr>
            </w:pPr>
          </w:p>
        </w:tc>
        <w:tc>
          <w:tcPr>
            <w:tcW w:w="936" w:type="dxa"/>
            <w:tcBorders>
              <w:top w:val="nil"/>
              <w:left w:val="nil"/>
              <w:bottom w:val="nil"/>
              <w:right w:val="nil"/>
            </w:tcBorders>
            <w:shd w:val="clear" w:color="auto" w:fill="auto"/>
            <w:noWrap/>
            <w:vAlign w:val="bottom"/>
            <w:hideMark/>
          </w:tcPr>
          <w:p w14:paraId="5975B1AE" w14:textId="77777777" w:rsidR="005732E5" w:rsidRPr="005732E5" w:rsidRDefault="005732E5" w:rsidP="005732E5">
            <w:pPr>
              <w:spacing w:after="0" w:line="240" w:lineRule="auto"/>
              <w:rPr>
                <w:rFonts w:eastAsia="Times New Roman" w:cstheme="minorHAnsi"/>
                <w:sz w:val="18"/>
                <w:szCs w:val="20"/>
                <w:lang w:eastAsia="en-GB"/>
              </w:rPr>
            </w:pPr>
          </w:p>
        </w:tc>
      </w:tr>
      <w:tr w:rsidR="005732E5" w:rsidRPr="005732E5" w14:paraId="72DA5FD3" w14:textId="77777777" w:rsidTr="00E3059B">
        <w:trPr>
          <w:trHeight w:val="291"/>
        </w:trPr>
        <w:tc>
          <w:tcPr>
            <w:tcW w:w="1155" w:type="dxa"/>
            <w:tcBorders>
              <w:top w:val="nil"/>
              <w:left w:val="nil"/>
              <w:bottom w:val="nil"/>
              <w:right w:val="nil"/>
            </w:tcBorders>
            <w:shd w:val="clear" w:color="auto" w:fill="auto"/>
            <w:noWrap/>
            <w:vAlign w:val="bottom"/>
            <w:hideMark/>
          </w:tcPr>
          <w:p w14:paraId="71C8DB9F" w14:textId="77777777" w:rsidR="005732E5" w:rsidRPr="005732E5" w:rsidRDefault="005732E5" w:rsidP="005732E5">
            <w:pPr>
              <w:spacing w:after="0" w:line="240" w:lineRule="auto"/>
              <w:rPr>
                <w:rFonts w:eastAsia="Times New Roman" w:cstheme="minorHAnsi"/>
                <w:sz w:val="18"/>
                <w:szCs w:val="20"/>
                <w:lang w:eastAsia="en-GB"/>
              </w:rPr>
            </w:pPr>
          </w:p>
        </w:tc>
        <w:tc>
          <w:tcPr>
            <w:tcW w:w="936" w:type="dxa"/>
            <w:tcBorders>
              <w:top w:val="nil"/>
              <w:left w:val="nil"/>
              <w:bottom w:val="nil"/>
              <w:right w:val="nil"/>
            </w:tcBorders>
            <w:shd w:val="clear" w:color="auto" w:fill="auto"/>
            <w:noWrap/>
            <w:vAlign w:val="bottom"/>
            <w:hideMark/>
          </w:tcPr>
          <w:p w14:paraId="419E5973" w14:textId="77777777" w:rsidR="005732E5" w:rsidRPr="005732E5" w:rsidRDefault="005732E5" w:rsidP="005732E5">
            <w:pPr>
              <w:spacing w:after="0" w:line="240" w:lineRule="auto"/>
              <w:jc w:val="right"/>
              <w:rPr>
                <w:rFonts w:eastAsia="Times New Roman" w:cstheme="minorHAnsi"/>
                <w:b/>
                <w:bCs/>
                <w:color w:val="000000"/>
                <w:sz w:val="18"/>
                <w:szCs w:val="28"/>
                <w:lang w:eastAsia="en-GB"/>
              </w:rPr>
            </w:pPr>
            <w:r w:rsidRPr="005732E5">
              <w:rPr>
                <w:rFonts w:eastAsia="Times New Roman" w:cstheme="minorHAnsi"/>
                <w:b/>
                <w:bCs/>
                <w:color w:val="000000"/>
                <w:sz w:val="18"/>
                <w:szCs w:val="28"/>
                <w:lang w:eastAsia="en-GB"/>
              </w:rPr>
              <w:t>103825</w:t>
            </w:r>
          </w:p>
        </w:tc>
      </w:tr>
    </w:tbl>
    <w:p w14:paraId="3E9B13B2" w14:textId="77777777" w:rsidR="005732E5" w:rsidRDefault="00E3059B" w:rsidP="00E3059B">
      <w:r>
        <w:t xml:space="preserve"> </w:t>
      </w:r>
      <w:r>
        <w:tab/>
      </w:r>
      <w:r>
        <w:tab/>
      </w:r>
    </w:p>
    <w:p w14:paraId="5E4F58D2" w14:textId="77777777" w:rsidR="000E1B25" w:rsidRPr="000E1B25" w:rsidRDefault="005732E5" w:rsidP="009500C9">
      <w:pPr>
        <w:pStyle w:val="ListParagraph"/>
        <w:numPr>
          <w:ilvl w:val="0"/>
          <w:numId w:val="1"/>
        </w:numPr>
        <w:spacing w:after="0" w:line="240" w:lineRule="auto"/>
        <w:ind w:left="426"/>
        <w:rPr>
          <w:rFonts w:cstheme="minorHAnsi"/>
          <w:szCs w:val="24"/>
        </w:rPr>
      </w:pPr>
      <w:r w:rsidRPr="000E1B25">
        <w:rPr>
          <w:b/>
        </w:rPr>
        <w:t>Independent risk assessment for burial ground</w:t>
      </w:r>
      <w:r w:rsidR="00E3059B">
        <w:t>. This identified certain memorial stones to be unsafe. Relatives have been contacted to gain approval to make sound or level the stones.</w:t>
      </w:r>
      <w:r w:rsidR="000E1B25">
        <w:t xml:space="preserve"> </w:t>
      </w:r>
      <w:r w:rsidR="00424602">
        <w:t xml:space="preserve"> Appropriate signs warning visitors of unstable memorials have been erected. Concern over spikes on railings was raised with insurers.</w:t>
      </w:r>
      <w:r w:rsidR="00424602">
        <w:rPr>
          <w:rFonts w:cstheme="minorHAnsi"/>
          <w:szCs w:val="24"/>
        </w:rPr>
        <w:t xml:space="preserve"> Insurers stated that an appropriate warning sign is positioned prominently</w:t>
      </w:r>
      <w:r w:rsidR="001C5186">
        <w:rPr>
          <w:rFonts w:cstheme="minorHAnsi"/>
          <w:szCs w:val="24"/>
        </w:rPr>
        <w:t>. The insurer had no issues with the spikes remaining</w:t>
      </w:r>
      <w:r w:rsidR="00424602">
        <w:rPr>
          <w:rFonts w:cstheme="minorHAnsi"/>
          <w:szCs w:val="24"/>
        </w:rPr>
        <w:t>.</w:t>
      </w:r>
    </w:p>
    <w:p w14:paraId="250F633B" w14:textId="77777777" w:rsidR="000E1B25" w:rsidRPr="000E1B25" w:rsidRDefault="005732E5" w:rsidP="009500C9">
      <w:pPr>
        <w:pStyle w:val="ListParagraph"/>
        <w:numPr>
          <w:ilvl w:val="0"/>
          <w:numId w:val="1"/>
        </w:numPr>
        <w:spacing w:after="0" w:line="240" w:lineRule="auto"/>
        <w:ind w:left="426"/>
        <w:rPr>
          <w:rFonts w:cstheme="minorHAnsi"/>
          <w:szCs w:val="24"/>
        </w:rPr>
      </w:pPr>
      <w:r w:rsidRPr="000E1B25">
        <w:rPr>
          <w:b/>
        </w:rPr>
        <w:t>Rent review</w:t>
      </w:r>
      <w:r w:rsidR="00E3059B" w:rsidRPr="000E1B25">
        <w:rPr>
          <w:b/>
        </w:rPr>
        <w:t>.</w:t>
      </w:r>
      <w:r w:rsidR="00E3059B">
        <w:t xml:space="preserve"> A full review of the rental agreement is being undertaken in light of the building condition report. Potential for increasing rent is being considered.</w:t>
      </w:r>
    </w:p>
    <w:p w14:paraId="5A5E9A56" w14:textId="77777777" w:rsidR="000E1B25" w:rsidRDefault="005732E5" w:rsidP="000E1B25">
      <w:pPr>
        <w:pStyle w:val="ListParagraph"/>
        <w:numPr>
          <w:ilvl w:val="0"/>
          <w:numId w:val="1"/>
        </w:numPr>
        <w:spacing w:after="0" w:line="240" w:lineRule="auto"/>
        <w:ind w:left="426"/>
        <w:rPr>
          <w:rFonts w:cstheme="minorHAnsi"/>
          <w:szCs w:val="24"/>
        </w:rPr>
      </w:pPr>
      <w:r w:rsidRPr="000E1B25">
        <w:rPr>
          <w:b/>
        </w:rPr>
        <w:t>Finance</w:t>
      </w:r>
      <w:r w:rsidR="00E3059B" w:rsidRPr="000E1B25">
        <w:rPr>
          <w:b/>
        </w:rPr>
        <w:t>.</w:t>
      </w:r>
      <w:r w:rsidR="00E3059B">
        <w:t xml:space="preserve"> </w:t>
      </w:r>
      <w:r w:rsidR="000E1B25" w:rsidRPr="000E1B25">
        <w:rPr>
          <w:rFonts w:cstheme="minorHAnsi"/>
          <w:szCs w:val="24"/>
        </w:rPr>
        <w:t>Income from burials and plot purchases was below forecast.  An increase in income was due but there was no guarantee that the forecast would be reached.  The income from these sources had therefore be carefully looked at in terms of setting the draft budget for 2022-23.  The Draft Budget had also been prepared to take account of the estimated costs for the Lodge outlined in the Condition Survey.  In order to maintain the amount of Maintenance Grant for each of the four Member Council’s it was proposed that the forecast expenditure above income of approx.. £3,000 be met from reserves with these reserves also being called on to fund necessary repairs to the Lodge. Burial fees may be increased, subject to further discussion at the next meeting. Any future work to the Chapels is to accord with health &amp; safety and insurance requirements only.</w:t>
      </w:r>
    </w:p>
    <w:p w14:paraId="7A53AF27" w14:textId="77777777" w:rsidR="00424602" w:rsidRPr="00424602" w:rsidRDefault="00E3059B" w:rsidP="00424602">
      <w:pPr>
        <w:pStyle w:val="ListParagraph"/>
        <w:numPr>
          <w:ilvl w:val="0"/>
          <w:numId w:val="1"/>
        </w:numPr>
        <w:spacing w:after="0" w:line="240" w:lineRule="auto"/>
        <w:ind w:left="426"/>
        <w:rPr>
          <w:rFonts w:cstheme="minorHAnsi"/>
          <w:szCs w:val="24"/>
        </w:rPr>
      </w:pPr>
      <w:r w:rsidRPr="000E1B25">
        <w:rPr>
          <w:b/>
        </w:rPr>
        <w:t>Burial Rules and Fees.</w:t>
      </w:r>
      <w:r>
        <w:t xml:space="preserve"> </w:t>
      </w:r>
      <w:r w:rsidRPr="000E1B25">
        <w:rPr>
          <w:rFonts w:cstheme="minorHAnsi"/>
        </w:rPr>
        <w:t>A proposal that the fees be increased by a small amount, in line with inflation, was disc</w:t>
      </w:r>
      <w:r w:rsidR="00424602">
        <w:rPr>
          <w:rFonts w:cstheme="minorHAnsi"/>
        </w:rPr>
        <w:t>ussed and may be undertaken, subject to further discussion.</w:t>
      </w:r>
    </w:p>
    <w:p w14:paraId="77736A2B" w14:textId="77777777" w:rsidR="005732E5" w:rsidRPr="004018F6" w:rsidRDefault="00424602" w:rsidP="00952AC0">
      <w:pPr>
        <w:pStyle w:val="ListParagraph"/>
        <w:numPr>
          <w:ilvl w:val="0"/>
          <w:numId w:val="1"/>
        </w:numPr>
        <w:spacing w:after="0" w:line="240" w:lineRule="auto"/>
      </w:pPr>
      <w:r w:rsidRPr="004018F6">
        <w:rPr>
          <w:b/>
        </w:rPr>
        <w:t>Damage to property.</w:t>
      </w:r>
      <w:r w:rsidRPr="004018F6">
        <w:rPr>
          <w:rFonts w:cstheme="minorHAnsi"/>
          <w:szCs w:val="24"/>
        </w:rPr>
        <w:t xml:space="preserve"> An unknown vehicle damaged the entry gatepost. This was covere</w:t>
      </w:r>
      <w:r w:rsidR="004018F6" w:rsidRPr="004018F6">
        <w:rPr>
          <w:rFonts w:cstheme="minorHAnsi"/>
          <w:szCs w:val="24"/>
        </w:rPr>
        <w:t xml:space="preserve">d by </w:t>
      </w:r>
      <w:r w:rsidRPr="004018F6">
        <w:rPr>
          <w:rFonts w:cstheme="minorHAnsi"/>
          <w:szCs w:val="24"/>
        </w:rPr>
        <w:t>insurance and repair costs have been reclaimed.</w:t>
      </w:r>
      <w:r w:rsidR="004018F6" w:rsidRPr="004018F6">
        <w:rPr>
          <w:rFonts w:cstheme="minorHAnsi"/>
          <w:szCs w:val="24"/>
        </w:rPr>
        <w:t xml:space="preserve">  </w:t>
      </w:r>
    </w:p>
    <w:p w14:paraId="21BCEF54" w14:textId="77777777" w:rsidR="004018F6" w:rsidRDefault="004018F6" w:rsidP="004018F6">
      <w:pPr>
        <w:spacing w:after="0" w:line="240" w:lineRule="auto"/>
      </w:pPr>
    </w:p>
    <w:p w14:paraId="68363F28" w14:textId="77777777" w:rsidR="004018F6" w:rsidRDefault="004018F6" w:rsidP="004018F6">
      <w:pPr>
        <w:spacing w:after="0" w:line="240" w:lineRule="auto"/>
      </w:pPr>
    </w:p>
    <w:p w14:paraId="0421D2FA" w14:textId="77777777" w:rsidR="004018F6" w:rsidRDefault="004018F6" w:rsidP="004018F6">
      <w:pPr>
        <w:spacing w:after="0" w:line="240" w:lineRule="auto"/>
      </w:pPr>
      <w:r>
        <w:t>Anne Hudson</w:t>
      </w:r>
    </w:p>
    <w:p w14:paraId="20A77473" w14:textId="77777777" w:rsidR="004018F6" w:rsidRDefault="004018F6" w:rsidP="004018F6">
      <w:pPr>
        <w:spacing w:after="0" w:line="240" w:lineRule="auto"/>
      </w:pPr>
      <w:r>
        <w:t>Parish Councillor</w:t>
      </w:r>
    </w:p>
    <w:sectPr w:rsidR="004018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03553"/>
    <w:multiLevelType w:val="hybridMultilevel"/>
    <w:tmpl w:val="A238B53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E5"/>
    <w:rsid w:val="000E1B25"/>
    <w:rsid w:val="001C5186"/>
    <w:rsid w:val="004018F6"/>
    <w:rsid w:val="00424602"/>
    <w:rsid w:val="005732E5"/>
    <w:rsid w:val="006C1F82"/>
    <w:rsid w:val="00E3059B"/>
    <w:rsid w:val="00EA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CC54"/>
  <w15:chartTrackingRefBased/>
  <w15:docId w15:val="{B6E8D997-E797-4E05-B89A-2CA828B5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82070">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Hudson</dc:creator>
  <cp:keywords/>
  <dc:description/>
  <cp:lastModifiedBy>Margaret DAVENPORT</cp:lastModifiedBy>
  <cp:revision>2</cp:revision>
  <dcterms:created xsi:type="dcterms:W3CDTF">2022-05-11T10:12:00Z</dcterms:created>
  <dcterms:modified xsi:type="dcterms:W3CDTF">2022-05-11T10:12:00Z</dcterms:modified>
</cp:coreProperties>
</file>